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0DD" w:rsidRDefault="008D50DD" w:rsidP="008D50DD">
      <w:r>
        <w:t>Angela R. Cox, M.A.</w:t>
      </w:r>
    </w:p>
    <w:p w:rsidR="008D50DD" w:rsidRDefault="008D50DD" w:rsidP="008D50DD">
      <w:r>
        <w:t>University of Arkansas</w:t>
      </w:r>
    </w:p>
    <w:p w:rsidR="008D50DD" w:rsidRDefault="008D50DD" w:rsidP="008D50DD">
      <w:r>
        <w:t>29 February 2016</w:t>
      </w:r>
    </w:p>
    <w:p w:rsidR="008D50DD" w:rsidRDefault="008D50DD" w:rsidP="008D50DD">
      <w:r>
        <w:t>2016 CEA conference paper</w:t>
      </w:r>
    </w:p>
    <w:p w:rsidR="004A6FAB" w:rsidRDefault="008D50DD" w:rsidP="008D50DD">
      <w:pPr>
        <w:jc w:val="center"/>
      </w:pPr>
      <w:r>
        <w:t>On the Origins of Genres</w:t>
      </w:r>
    </w:p>
    <w:p w:rsidR="00064DEB" w:rsidRDefault="00064DEB" w:rsidP="00064DEB">
      <w:pPr>
        <w:ind w:firstLine="720"/>
      </w:pPr>
      <w:r>
        <w:t xml:space="preserve">Rhetoric and Composition and its related fields have generally accepted that genre is, as Carolyn Miller and others have </w:t>
      </w:r>
      <w:proofErr w:type="gramStart"/>
      <w:r>
        <w:t>argued,</w:t>
      </w:r>
      <w:proofErr w:type="gramEnd"/>
      <w:r>
        <w:t xml:space="preserve"> a typified response to a rhetorical situation. It is, of course, obvious that genres change over time as well; in discussions of historical genres, such as the Gothic in literature (often seen as a predecessor to both modern fantasy and horror), a genre may be strictly limited to a particular time period, not just a list of attributes or conventions. In these cases, there is an assumption (though these theorists may not be able to articulate such an assumption) that the recurring rhetorical situations that occasioned the genre under scrutiny simply </w:t>
      </w:r>
      <w:r w:rsidRPr="00894F98">
        <w:rPr>
          <w:i/>
        </w:rPr>
        <w:t>cannot</w:t>
      </w:r>
      <w:r>
        <w:t xml:space="preserve"> recur in any but the cited (and contested) time period, as they are historically bound. </w:t>
      </w:r>
    </w:p>
    <w:p w:rsidR="00064DEB" w:rsidRDefault="00064DEB" w:rsidP="00064DEB">
      <w:pPr>
        <w:ind w:firstLine="720"/>
      </w:pPr>
      <w:r>
        <w:t>But, as Carolyn Miller and Dawn Shepherd note, "there's something problematic about the very idea of genre change. Genre change problematizes precisely what makes genre generic," because of genre for them is defined "as a recurring, typified, reproducible, 'stabilized enough' (</w:t>
      </w:r>
      <w:proofErr w:type="spellStart"/>
      <w:r>
        <w:t>Schryer</w:t>
      </w:r>
      <w:proofErr w:type="spellEnd"/>
      <w:r>
        <w:t xml:space="preserve"> 1993: 204) symbolic action" that "requires it to resist change" (264). </w:t>
      </w:r>
      <w:r w:rsidR="007F4669">
        <w:t>This</w:t>
      </w:r>
      <w:r>
        <w:t xml:space="preserve"> is what makes </w:t>
      </w:r>
      <w:proofErr w:type="spellStart"/>
      <w:r>
        <w:t>Karlyn</w:t>
      </w:r>
      <w:proofErr w:type="spellEnd"/>
      <w:r>
        <w:t xml:space="preserve"> Campbell and Kathleen Jamieson's definition of genre as "a constellation of elements" so appealing; such a constellation might be timeless, and therefore require very little context--or it may be entirely time bound, as some of the key elements in the constellation may be restricted to a particular rhetorical moment (21). </w:t>
      </w:r>
    </w:p>
    <w:p w:rsidR="00064DEB" w:rsidRDefault="00064DEB" w:rsidP="00064DEB">
      <w:pPr>
        <w:ind w:firstLine="720"/>
      </w:pPr>
      <w:r>
        <w:lastRenderedPageBreak/>
        <w:t xml:space="preserve">Indeed, it is common in popular media—in fan communities, for instance—to generate genealogies and taxonomies of genres, presenting genre change as a linear development over time, not unlike a family tree of related texts. </w:t>
      </w:r>
      <w:r w:rsidR="00241F35">
        <w:t xml:space="preserve">In so doing, the compilers of these genealogies are able to take some power over whatever genre is in question, by asserting what is “legitimate” in the </w:t>
      </w:r>
      <w:r w:rsidR="000F23AF">
        <w:t xml:space="preserve">family tree and which texts are bastards. </w:t>
      </w:r>
    </w:p>
    <w:p w:rsidR="000F23AF" w:rsidRDefault="000F23AF" w:rsidP="00064DEB">
      <w:pPr>
        <w:ind w:firstLine="720"/>
      </w:pPr>
      <w:r>
        <w:t xml:space="preserve">When we conceive of genre change as linear in this way, the genre of a text is fixed in time and space—fossilized along with the text. Genre becomes an inherent quality of the text and necessary for the correct interpretation and study of that text. In general, this is how we teach texts in educational environments, even though we have now moved to a more dynamic model of genre than classical finite taxonomies. </w:t>
      </w:r>
    </w:p>
    <w:p w:rsidR="00296674" w:rsidRDefault="00296674" w:rsidP="00064DEB">
      <w:pPr>
        <w:ind w:firstLine="720"/>
      </w:pPr>
      <w:r>
        <w:t xml:space="preserve">I propose that, rather than looking for fossilized </w:t>
      </w:r>
      <w:r w:rsidR="007F4669">
        <w:t>“</w:t>
      </w:r>
      <w:r>
        <w:t>missing links</w:t>
      </w:r>
      <w:r w:rsidR="007F4669">
        <w:t>”</w:t>
      </w:r>
      <w:r>
        <w:t xml:space="preserve"> in endless </w:t>
      </w:r>
      <w:proofErr w:type="spellStart"/>
      <w:r>
        <w:t>geneaologies</w:t>
      </w:r>
      <w:proofErr w:type="spellEnd"/>
      <w:r>
        <w:t xml:space="preserve"> of genre to seek legitimacy in the interpretation of texts, we instead adopt a different model of genre that sees genre as a </w:t>
      </w:r>
      <w:r>
        <w:rPr>
          <w:i/>
        </w:rPr>
        <w:t>system</w:t>
      </w:r>
      <w:r>
        <w:t xml:space="preserve"> of rules governing the interaction between authors, audiences, and texts. In this model, genres</w:t>
      </w:r>
      <w:r w:rsidR="007F4669">
        <w:t xml:space="preserve"> do</w:t>
      </w:r>
      <w:r>
        <w:t xml:space="preserve"> indeed exhibit a sort of “genetic” drift with each new instance, just as in evolution where each organism participating in the gene pool influences the available traits for evolution—but unlike genetics and Darwinian evolution, the changes in genres retroactively affect texts from the past as well as texts in the present and future is, in fact, a </w:t>
      </w:r>
      <w:r>
        <w:rPr>
          <w:i/>
        </w:rPr>
        <w:t>system</w:t>
      </w:r>
      <w:r>
        <w:t xml:space="preserve"> that establishes the rules—so while an author might have anticipated a particular set of rules in penning a historical text (which was likely intended not as historical, but to be used according to textual practices of the time), those rules become lost with changes in genre practices, and the text will inevitably be received according to the audience’s understanding of genre and the systems that different genres impose on interpretation and use. </w:t>
      </w:r>
    </w:p>
    <w:p w:rsidR="00ED6915" w:rsidRDefault="00FC5014" w:rsidP="00064DEB">
      <w:pPr>
        <w:ind w:firstLine="720"/>
      </w:pPr>
      <w:r>
        <w:lastRenderedPageBreak/>
        <w:t xml:space="preserve">To this end, I propose that genre be defined as a transmedial, mutable, associative, and recognized system. Transmedial in that, as I will demonstrate, genre no longer depends on the physicality of the text or media presentation of it—if it ever did. Mutable in that it changes, as this discussion focuses on. Associative in that genre functions like Campbell and Jamieson’s “constellation of elements”—but those elements are identified most often by association with other texts, so that a genre is often distinguished by a few key definitive texts to which other texts in the genre are associated. Recognized in that genre is meaningless save that the audience recognizes the genre enacted, so that the text can be interpreted according to that set of rules. And a system in that genre is a set of rules with predictable if-then statements—a sort of algorithm pattern that audiences and audiences expect a text to conform to once the genre has been recognized, not unlike Vladimir </w:t>
      </w:r>
      <w:proofErr w:type="spellStart"/>
      <w:r>
        <w:t>Propp’s</w:t>
      </w:r>
      <w:proofErr w:type="spellEnd"/>
      <w:r>
        <w:t xml:space="preserve"> </w:t>
      </w:r>
      <w:r>
        <w:rPr>
          <w:i/>
        </w:rPr>
        <w:t>Morphology of the Folk Tale</w:t>
      </w:r>
      <w:r>
        <w:t xml:space="preserve">, which provides a precise flow-chart-like algorithm for understanding the narrative options available in the folk tale genre according to his exhaustive analysis. </w:t>
      </w:r>
      <w:r w:rsidR="005337B9">
        <w:t>In theory, any genre might be reduced to such an algorithm, but in so doing one would actually change the genre under study or</w:t>
      </w:r>
      <w:r w:rsidR="00ED6915">
        <w:t>, more likely,</w:t>
      </w:r>
      <w:r w:rsidR="005337B9">
        <w:t xml:space="preserve"> </w:t>
      </w:r>
      <w:proofErr w:type="gramStart"/>
      <w:r w:rsidR="005337B9">
        <w:t>be</w:t>
      </w:r>
      <w:proofErr w:type="gramEnd"/>
      <w:r w:rsidR="005337B9">
        <w:t xml:space="preserve"> too late to keep up with the rapid pace of genre change. </w:t>
      </w:r>
      <w:r w:rsidR="00ED6915">
        <w:t xml:space="preserve">Defining genre itself is challenging, but defining individual genres is aiming at moving targets. </w:t>
      </w:r>
    </w:p>
    <w:p w:rsidR="00ED6915" w:rsidRDefault="00ED6915" w:rsidP="00064DEB">
      <w:pPr>
        <w:ind w:firstLine="720"/>
      </w:pPr>
      <w:r>
        <w:t xml:space="preserve">This definition helps to reconcile the available definitions of genre in that it unites approaches that focus on textual features, authorial agency, and audience participation in meaning-making. Each of these definitions—such as Carolyn Miller’s much-cited “social action” (emphasis on author) and Campbell and Jamieson’s “constellation” (emphasis on textual features)—is certainly accurate as far as it goes; it is a clear picture of some part of the rhetorical processes surrounding genre. However, none of these definitions manages to account for how all these aspects of genre function together to produce the text’s meaning—to describe the system </w:t>
      </w:r>
      <w:r>
        <w:lastRenderedPageBreak/>
        <w:t xml:space="preserve">by which all the participants in the rhetorical situation (author, audience, text, </w:t>
      </w:r>
      <w:proofErr w:type="gramStart"/>
      <w:r>
        <w:t>context</w:t>
      </w:r>
      <w:proofErr w:type="gramEnd"/>
      <w:r>
        <w:t xml:space="preserve">) interact with each other to generate meaning. </w:t>
      </w:r>
    </w:p>
    <w:p w:rsidR="003E5BD6" w:rsidRDefault="003E5BD6" w:rsidP="00064DEB">
      <w:pPr>
        <w:ind w:firstLine="720"/>
      </w:pPr>
      <w:r>
        <w:t xml:space="preserve">But here the interest is primarily in </w:t>
      </w:r>
      <w:r>
        <w:rPr>
          <w:i/>
        </w:rPr>
        <w:t>how</w:t>
      </w:r>
      <w:r>
        <w:t xml:space="preserve"> genre changes, and what those changes mean for understanding how audiences interact with texts. </w:t>
      </w:r>
      <w:r w:rsidR="00F47452">
        <w:t xml:space="preserve">That is, I’d like to speak about the </w:t>
      </w:r>
      <w:r w:rsidR="00F47452">
        <w:rPr>
          <w:i/>
        </w:rPr>
        <w:t>mutable</w:t>
      </w:r>
      <w:r w:rsidR="00F47452">
        <w:t xml:space="preserve"> aspect of genre here. </w:t>
      </w:r>
    </w:p>
    <w:p w:rsidR="00F47452" w:rsidRDefault="00D91C17" w:rsidP="00064DEB">
      <w:pPr>
        <w:ind w:firstLine="720"/>
      </w:pPr>
      <w:r>
        <w:t xml:space="preserve">What is most surprising here is that genre changes in both directions, temporally. It’s fairly uncontroversial, given Carolyn Miller’s work on genre, to say that genre is changed by authors </w:t>
      </w:r>
      <w:proofErr w:type="gramStart"/>
      <w:r>
        <w:t>with each new iteration</w:t>
      </w:r>
      <w:proofErr w:type="gramEnd"/>
      <w:r>
        <w:t xml:space="preserve"> of the genre (when it is recognized as an iteration of that genre by the audience). However, since genres interact with each other in systems and hierarchies, and since audiences have an integral part in meaning-making of any text, it is not only authors working within the genre in question who can change the genre. </w:t>
      </w:r>
    </w:p>
    <w:p w:rsidR="00D91C17" w:rsidRDefault="00D91C17" w:rsidP="00064DEB">
      <w:pPr>
        <w:ind w:firstLine="720"/>
      </w:pPr>
      <w:r>
        <w:t xml:space="preserve">Thus, genre changes with each shift in critical thinking about the given genre; each time a new element is identified in the “constellation” or each time the genre is redefined by authors or audiences, the genre changes, just like a species changes slightly with each viable mating. In this way, texts composed in the past are susceptible to genre change as much as texts in the present or future. </w:t>
      </w:r>
    </w:p>
    <w:p w:rsidR="00D91C17" w:rsidRPr="00153E3D" w:rsidRDefault="00D91C17" w:rsidP="00064DEB">
      <w:pPr>
        <w:ind w:firstLine="720"/>
      </w:pPr>
      <w:r>
        <w:t>Just as important is the transmedial characteristic of genre. Although many models of genre have proposed that genre be nearly synonymous with form or media, this is not the case when one examines how genres are understood by communities of audiences outside of academic discussions. Certainly there are certain media-bound genres, such as first-person shooter games, but texts in these media-bound genres generally ascribe to the narrative or rhetorical conventions of another genre as well—in the example of a first-person shooter game, it might ascribe to sci</w:t>
      </w:r>
      <w:r w:rsidR="00E46247">
        <w:t>ence</w:t>
      </w:r>
      <w:r>
        <w:t>-fi</w:t>
      </w:r>
      <w:r w:rsidR="00E46247">
        <w:t>ction</w:t>
      </w:r>
      <w:r>
        <w:t xml:space="preserve"> conventions (</w:t>
      </w:r>
      <w:r w:rsidR="00E46247">
        <w:t xml:space="preserve">the </w:t>
      </w:r>
      <w:r w:rsidR="00E46247">
        <w:rPr>
          <w:i/>
        </w:rPr>
        <w:t>Halo</w:t>
      </w:r>
      <w:r w:rsidR="00E46247">
        <w:t xml:space="preserve"> series, for instance) or military narrative </w:t>
      </w:r>
      <w:r w:rsidR="00E46247">
        <w:lastRenderedPageBreak/>
        <w:t xml:space="preserve">conventions (the </w:t>
      </w:r>
      <w:r w:rsidR="00E46247">
        <w:rPr>
          <w:i/>
        </w:rPr>
        <w:t>Call of Duty</w:t>
      </w:r>
      <w:r w:rsidR="00E46247">
        <w:t xml:space="preserve"> series, for example). It is conceivable to have a first-person shooter in any number of other genres: fantasy, noir, etc. These more dominant ge</w:t>
      </w:r>
      <w:r w:rsidR="00986762">
        <w:t>nres are definitely transmedial:</w:t>
      </w:r>
      <w:r w:rsidR="00E46247">
        <w:t xml:space="preserve"> </w:t>
      </w:r>
      <w:r w:rsidR="00986762">
        <w:t>f</w:t>
      </w:r>
      <w:r w:rsidR="00E46247">
        <w:t xml:space="preserve">antasy, science fiction, romance, and so on—the sorts of genres that most people think of when they hear the word “genre”, and which we reference when we say “genre fiction” (as opposed to “literary fiction,” which of course is its own genre with its own conventions and rules). </w:t>
      </w:r>
      <w:r w:rsidR="002B448F">
        <w:t>With these transmedi</w:t>
      </w:r>
      <w:bookmarkStart w:id="0" w:name="_GoBack"/>
      <w:bookmarkEnd w:id="0"/>
      <w:r w:rsidR="002B448F">
        <w:t xml:space="preserve">al genres, a shift in one media will often trigger a shift in another—for instance, my research suggests that fantasy novel writers regularly cite </w:t>
      </w:r>
      <w:r w:rsidR="002B448F">
        <w:rPr>
          <w:i/>
        </w:rPr>
        <w:t>Dungeons &amp; Dragons</w:t>
      </w:r>
      <w:r w:rsidR="002B448F">
        <w:t xml:space="preserve"> and its affiliate properties as an authority, defining their conception of how fantasy </w:t>
      </w:r>
      <w:r w:rsidR="002B448F">
        <w:rPr>
          <w:i/>
        </w:rPr>
        <w:t>should</w:t>
      </w:r>
      <w:r w:rsidR="002B448F">
        <w:t xml:space="preserve"> work, and thus how they generate texts and interpret fantasy texts they read. </w:t>
      </w:r>
      <w:r w:rsidR="00153E3D">
        <w:t xml:space="preserve">It is worth noting here, though, that </w:t>
      </w:r>
      <w:r w:rsidR="00153E3D">
        <w:rPr>
          <w:i/>
        </w:rPr>
        <w:t>Dungeons &amp; Dragons</w:t>
      </w:r>
      <w:r w:rsidR="00153E3D">
        <w:t xml:space="preserve"> itself is a transmedial space, existing not only as a dice-and-paper game, but also as a number of video games, an ever-growing number of novelizations, a soundtrack, and any number of other properties. This </w:t>
      </w:r>
      <w:proofErr w:type="spellStart"/>
      <w:r w:rsidR="00153E3D">
        <w:t>multimedial</w:t>
      </w:r>
      <w:proofErr w:type="spellEnd"/>
      <w:r w:rsidR="00153E3D">
        <w:t xml:space="preserve">, transmedial approach to understanding rhetorical spaces is becoming normal; audiences no longer interact with texts in one media alone (if they ever did) but expect texts to transcend medial boundaries—and if they do not, audiences will often fill that gap by remediating the texts. </w:t>
      </w:r>
    </w:p>
    <w:p w:rsidR="00FC5014" w:rsidRDefault="005337B9" w:rsidP="00064DEB">
      <w:pPr>
        <w:ind w:firstLine="720"/>
      </w:pPr>
      <w:r>
        <w:t xml:space="preserve"> </w:t>
      </w:r>
      <w:r w:rsidR="002B448F">
        <w:t xml:space="preserve">But how, then, can a shift in genre change the meaning of a text that was written in the past? How can a </w:t>
      </w:r>
      <w:r w:rsidR="00153E3D">
        <w:t xml:space="preserve">film, for instance, influence a poem written four hundred years ago? </w:t>
      </w:r>
    </w:p>
    <w:p w:rsidR="00153E3D" w:rsidRDefault="00153E3D" w:rsidP="00064DEB">
      <w:pPr>
        <w:ind w:firstLine="720"/>
      </w:pPr>
      <w:r>
        <w:t xml:space="preserve">The mechanism of this change is in genre recognition on the part of the audience. Apart from genre, there </w:t>
      </w:r>
      <w:r>
        <w:rPr>
          <w:i/>
        </w:rPr>
        <w:t>is</w:t>
      </w:r>
      <w:r>
        <w:t xml:space="preserve"> </w:t>
      </w:r>
      <w:r>
        <w:rPr>
          <w:i/>
        </w:rPr>
        <w:t>no meaning</w:t>
      </w:r>
      <w:r>
        <w:t xml:space="preserve"> in a text. </w:t>
      </w:r>
      <w:r w:rsidR="00D17B25">
        <w:t xml:space="preserve">Genre functions, as I said, like a start/end code in a barcode or on a string of DNA, setting up the framework for the audience, establishing the system in which the audience is going to interpret the text and make meaning from it. </w:t>
      </w:r>
    </w:p>
    <w:p w:rsidR="00434493" w:rsidRDefault="00434493" w:rsidP="00064DEB">
      <w:pPr>
        <w:ind w:firstLine="720"/>
      </w:pPr>
      <w:r>
        <w:t xml:space="preserve">Thus, since the meaning of a text is understood </w:t>
      </w:r>
      <w:r>
        <w:rPr>
          <w:i/>
        </w:rPr>
        <w:t>through</w:t>
      </w:r>
      <w:r>
        <w:t xml:space="preserve"> genre, the meaning of the text changes as the genre system itself changes. </w:t>
      </w:r>
    </w:p>
    <w:p w:rsidR="00434493" w:rsidRDefault="00434493" w:rsidP="00064DEB">
      <w:pPr>
        <w:ind w:firstLine="720"/>
      </w:pPr>
      <w:r>
        <w:lastRenderedPageBreak/>
        <w:t xml:space="preserve">English teachers generally encounter this tacit understanding of how genre works as an interpretive tool as resistance in students to understanding genre when we teach genre in respect to historical texts. In my own experience, in teaching both </w:t>
      </w:r>
      <w:r>
        <w:rPr>
          <w:i/>
        </w:rPr>
        <w:t>A Midsummer Night’s Dream</w:t>
      </w:r>
      <w:r>
        <w:t xml:space="preserve"> and </w:t>
      </w:r>
      <w:r>
        <w:rPr>
          <w:i/>
        </w:rPr>
        <w:t>The Taming of the Shrew</w:t>
      </w:r>
      <w:r>
        <w:t xml:space="preserve">, students resisted any attempt on my part to define these texts (as they are traditionally classified) as </w:t>
      </w:r>
      <w:r>
        <w:rPr>
          <w:i/>
        </w:rPr>
        <w:t>comedy</w:t>
      </w:r>
      <w:r>
        <w:t xml:space="preserve">. “But it isn’t funny,” I heard repeatedly—admittedly a failure on my part to explain the jokes, but remember that the classical definition of comedy has to do with plot structure and not comedic value. </w:t>
      </w:r>
      <w:r w:rsidR="007F4669">
        <w:t xml:space="preserve">So, here, </w:t>
      </w:r>
      <w:r>
        <w:t xml:space="preserve">the genre has </w:t>
      </w:r>
      <w:r>
        <w:rPr>
          <w:i/>
        </w:rPr>
        <w:t>changed</w:t>
      </w:r>
      <w:r>
        <w:t xml:space="preserve">. “Comedy” now means “expect to laugh”, rather than “Expect it to end in marriage and order.” </w:t>
      </w:r>
    </w:p>
    <w:p w:rsidR="00434493" w:rsidRDefault="00434493" w:rsidP="00064DEB">
      <w:pPr>
        <w:ind w:firstLine="720"/>
      </w:pPr>
      <w:r>
        <w:t xml:space="preserve">This classical definition presented to the students a significant barrier to interpreting the texts, but I am proposing in this framework and revised definition of genre that the error is </w:t>
      </w:r>
      <w:r>
        <w:rPr>
          <w:i/>
        </w:rPr>
        <w:t>not</w:t>
      </w:r>
      <w:r>
        <w:t xml:space="preserve"> on the students’ parts. The students are actually engaging in meaningful critical interpretation of the texts by applying the current definition of </w:t>
      </w:r>
      <w:r>
        <w:rPr>
          <w:i/>
        </w:rPr>
        <w:t>comedy</w:t>
      </w:r>
      <w:r>
        <w:t xml:space="preserve"> to these texts and finding that they don’t quite measure up. More significantly, students were able to recognize their latent genre frameworks (these students are not unread or illiterate in narrative texts as some might suppose); when I asked students: “If not comedy, what genre would you call it?” I </w:t>
      </w:r>
      <w:r w:rsidR="007F4669">
        <w:t xml:space="preserve">was told </w:t>
      </w:r>
      <w:r>
        <w:t>almost unanimously “romantic comedy</w:t>
      </w:r>
      <w:r w:rsidR="007F4669">
        <w:t>,</w:t>
      </w:r>
      <w:r>
        <w:t xml:space="preserve">” </w:t>
      </w:r>
      <w:r w:rsidR="007F4669">
        <w:t xml:space="preserve">a claim remarkably supported by how easily Hollywood can adapt texts such as these into romantic comedy films. </w:t>
      </w:r>
      <w:r>
        <w:rPr>
          <w:i/>
        </w:rPr>
        <w:t>This</w:t>
      </w:r>
      <w:r>
        <w:t xml:space="preserve"> shows that the students were identifying the significant markers in the constellation—they were recognizing genre and enacting the appropriate system of interpretation. When they used “romantic comedy” rather than only “comedy,” they responded to the text in appropriate and critical ways, diving more deeply into particular characters and scenes. </w:t>
      </w:r>
    </w:p>
    <w:p w:rsidR="00434493" w:rsidRDefault="00434493" w:rsidP="00064DEB">
      <w:pPr>
        <w:ind w:firstLine="720"/>
      </w:pPr>
      <w:r>
        <w:t xml:space="preserve">This is not to say, of course, that we should throw out scholarship on the historical meaning of comedy and tragedy. It is still very important to understand, from a scholarly </w:t>
      </w:r>
      <w:r>
        <w:lastRenderedPageBreak/>
        <w:t xml:space="preserve">position, the historical context of texts, and that includes understanding what audiences and authors of the time contemporary to the text would have understood genre to mean—so that we might better understand what interpretive systems were available in those historical rhetorical situations. </w:t>
      </w:r>
    </w:p>
    <w:p w:rsidR="005548D9" w:rsidRDefault="005548D9" w:rsidP="00064DEB">
      <w:pPr>
        <w:ind w:firstLine="720"/>
      </w:pPr>
      <w:r>
        <w:t>But I do mean to say that we should not treat genre in the classroom as something foreign to students and in need of correct teaching</w:t>
      </w:r>
      <w:r w:rsidR="007F4669">
        <w:t xml:space="preserve"> from the ground up</w:t>
      </w:r>
      <w:r>
        <w:t xml:space="preserve">. Students </w:t>
      </w:r>
      <w:r>
        <w:rPr>
          <w:i/>
        </w:rPr>
        <w:t xml:space="preserve">already know </w:t>
      </w:r>
      <w:r>
        <w:t xml:space="preserve">how to recognize genre, in the same way that they know their first languages. Our goal, as with English as a first language students, should not be to give them a new framework, but to teach them to recognize their own latent frameworks and to think critically about how those frameworks shape their own understandings and how they might in turn shape those frameworks to their own rhetorical ends. To not only enact genres, the way Miller would have us teach, but also to recognize when genres are enacted by authors and audiences alike, and to see conventions for what they are. </w:t>
      </w:r>
    </w:p>
    <w:p w:rsidR="00A367D2" w:rsidRDefault="00A367D2" w:rsidP="00064DEB">
      <w:pPr>
        <w:ind w:firstLine="720"/>
      </w:pPr>
      <w:r>
        <w:t xml:space="preserve">It is likewise important, when teaching the historical uses of a genre, to be sure to root genre in the historical moment, the same way we would do with a rhetorical situation. A text may move through time, being significant and useful in a tie far removed from its origins—why else do we continue to teach Chaucer, if it is not still significant? Why else would we continue to see film adaptations of Shakespeare’s plays, or of any other historical text? Why else would fantasy writers routinely turn to Norse Sagas for material? But what is significant is that the </w:t>
      </w:r>
      <w:r>
        <w:rPr>
          <w:i/>
        </w:rPr>
        <w:t>genres</w:t>
      </w:r>
      <w:r>
        <w:t xml:space="preserve"> for these texts—that is, the ways that audiences receive them and use them and understand them to be meaningful—have changed. What was once satire becomes seen as historical, what was once documentarian becomes fantastic, and audiences understand these texts in those new systems rather than their original </w:t>
      </w:r>
      <w:proofErr w:type="gramStart"/>
      <w:r>
        <w:t>systems.</w:t>
      </w:r>
      <w:proofErr w:type="gramEnd"/>
      <w:r>
        <w:t xml:space="preserve"> That’s not wrong—it’s not exactly </w:t>
      </w:r>
      <w:r>
        <w:lastRenderedPageBreak/>
        <w:t xml:space="preserve">temporal colonialism, per se—but simply the mechanism by which genres emerge, propagate, and sustain their own kind, in this necessary relationship with not necessarily specific texts but with audiences and authors in their approaches to texts. </w:t>
      </w:r>
    </w:p>
    <w:p w:rsidR="007D5CCB" w:rsidRDefault="007D5CCB" w:rsidP="00064DEB">
      <w:pPr>
        <w:ind w:firstLine="720"/>
      </w:pPr>
      <w:r>
        <w:t xml:space="preserve">If we are to apply this new approach to genre in the classroom—or even in our own research as scholars of rhetoric or literature—we must make a significant shift in how we treat genre, texts, and even students. </w:t>
      </w:r>
    </w:p>
    <w:p w:rsidR="007D5CCB" w:rsidRDefault="007D5CCB" w:rsidP="00064DEB">
      <w:pPr>
        <w:ind w:firstLine="720"/>
      </w:pPr>
      <w:r>
        <w:t xml:space="preserve">The first shift is the shift to transmedial thinking—accepting that nothing is completely limited to one media or form at any time, but at the same time materiality matters. When we present a Shakespearian play in class, we must acknowledge that we are treating it as a </w:t>
      </w:r>
      <w:r>
        <w:rPr>
          <w:i/>
        </w:rPr>
        <w:t>distinctly different genre</w:t>
      </w:r>
      <w:r>
        <w:t xml:space="preserve"> from what Shakespeare wrote it for—we are presenting it as a text to be read, rather than to be seen as no doubt it was originally written for. Thus, we invite students to apply their own genre readings of the texts. </w:t>
      </w:r>
    </w:p>
    <w:p w:rsidR="007D5CCB" w:rsidRDefault="007D5CCB" w:rsidP="00064DEB">
      <w:pPr>
        <w:ind w:firstLine="720"/>
      </w:pPr>
      <w:r>
        <w:t xml:space="preserve">The second shift is toward descriptivist thinking in the classroom—not what a genre should be, but rather what a genre </w:t>
      </w:r>
      <w:r>
        <w:rPr>
          <w:i/>
        </w:rPr>
        <w:t>is</w:t>
      </w:r>
      <w:r>
        <w:t xml:space="preserve">, as used by the people who interact with that genre. And we must invite our students to do the same, to defend their claims about genre using evidence that suggests actual use rather than theorization. </w:t>
      </w:r>
    </w:p>
    <w:p w:rsidR="007D5CCB" w:rsidRPr="007D5CCB" w:rsidRDefault="007D5CCB" w:rsidP="00064DEB">
      <w:pPr>
        <w:ind w:firstLine="720"/>
      </w:pPr>
      <w:r>
        <w:t xml:space="preserve">The third </w:t>
      </w:r>
      <w:r w:rsidR="007F4669">
        <w:t xml:space="preserve">and final shift </w:t>
      </w:r>
      <w:r>
        <w:t xml:space="preserve">is a power shift away from </w:t>
      </w:r>
      <w:proofErr w:type="gramStart"/>
      <w:r>
        <w:t>ourselves</w:t>
      </w:r>
      <w:proofErr w:type="gramEnd"/>
      <w:r>
        <w:t xml:space="preserve"> and to our students and the communities they participate in. We must recognize that our students are genre savvy in ways we as scholars are only beginning to describe. We must recognize that our students are using that genre savvy to navigate a world of transmedial genre systems, enacting theoretical frameworks subconsciously as they flip through channels on TV or click on thumbnails on </w:t>
      </w:r>
      <w:proofErr w:type="spellStart"/>
      <w:r>
        <w:t>Youtube</w:t>
      </w:r>
      <w:proofErr w:type="spellEnd"/>
      <w:r>
        <w:t xml:space="preserve"> or engage in any other media consumption. We must honor not only our students’ intelligence, but </w:t>
      </w:r>
      <w:r>
        <w:lastRenderedPageBreak/>
        <w:t>also the right of all audiences to define genres</w:t>
      </w:r>
      <w:r w:rsidR="002E2686">
        <w:t xml:space="preserve"> as suits the rhetorical situation. We must be</w:t>
      </w:r>
      <w:r w:rsidR="0032777A">
        <w:t>come</w:t>
      </w:r>
      <w:r w:rsidR="002E2686">
        <w:t xml:space="preserve"> </w:t>
      </w:r>
      <w:proofErr w:type="spellStart"/>
      <w:r w:rsidR="002E2686">
        <w:t>descriptivists</w:t>
      </w:r>
      <w:proofErr w:type="spellEnd"/>
      <w:r w:rsidR="002E2686">
        <w:t>.</w:t>
      </w:r>
    </w:p>
    <w:p w:rsidR="00064DEB" w:rsidRDefault="00064DEB">
      <w:pPr>
        <w:spacing w:after="200" w:line="276" w:lineRule="auto"/>
      </w:pPr>
      <w:r>
        <w:br w:type="page"/>
      </w:r>
    </w:p>
    <w:p w:rsidR="008D50DD" w:rsidRDefault="00064DEB" w:rsidP="00064DEB">
      <w:pPr>
        <w:jc w:val="center"/>
      </w:pPr>
      <w:r>
        <w:lastRenderedPageBreak/>
        <w:t>Works Cited</w:t>
      </w:r>
    </w:p>
    <w:p w:rsidR="0032777A" w:rsidRDefault="0032777A" w:rsidP="00064DEB">
      <w:pPr>
        <w:ind w:left="720" w:hanging="720"/>
      </w:pPr>
      <w:proofErr w:type="gramStart"/>
      <w:r w:rsidRPr="00F84F8C">
        <w:t xml:space="preserve">Campbell, </w:t>
      </w:r>
      <w:proofErr w:type="spellStart"/>
      <w:r w:rsidRPr="00F84F8C">
        <w:t>Karlyn</w:t>
      </w:r>
      <w:proofErr w:type="spellEnd"/>
      <w:r w:rsidRPr="00F84F8C">
        <w:t xml:space="preserve"> </w:t>
      </w:r>
      <w:proofErr w:type="spellStart"/>
      <w:r w:rsidRPr="00F84F8C">
        <w:t>Kohrs</w:t>
      </w:r>
      <w:proofErr w:type="spellEnd"/>
      <w:r w:rsidRPr="00F84F8C">
        <w:t xml:space="preserve"> and Kathleen Hall Jamieson.</w:t>
      </w:r>
      <w:proofErr w:type="gramEnd"/>
      <w:r w:rsidRPr="00F84F8C">
        <w:t xml:space="preserve"> </w:t>
      </w:r>
      <w:proofErr w:type="gramStart"/>
      <w:r w:rsidRPr="00F84F8C">
        <w:t xml:space="preserve">“Form and Genre in Rhetorical Criticism: An Introduction.” eds. </w:t>
      </w:r>
      <w:proofErr w:type="spellStart"/>
      <w:r w:rsidRPr="00F84F8C">
        <w:t>Karlyn</w:t>
      </w:r>
      <w:proofErr w:type="spellEnd"/>
      <w:r w:rsidRPr="00F84F8C">
        <w:t xml:space="preserve"> </w:t>
      </w:r>
      <w:proofErr w:type="spellStart"/>
      <w:r w:rsidRPr="00F84F8C">
        <w:t>Kohrs</w:t>
      </w:r>
      <w:proofErr w:type="spellEnd"/>
      <w:r w:rsidRPr="00F84F8C">
        <w:t xml:space="preserve"> Campbell and Kathleen Hall Jamieson.</w:t>
      </w:r>
      <w:proofErr w:type="gramEnd"/>
      <w:r w:rsidRPr="00F84F8C">
        <w:t xml:space="preserve"> Form and Genre: Shaping Rhetorical Action. Falls C</w:t>
      </w:r>
      <w:r>
        <w:t>h</w:t>
      </w:r>
      <w:r w:rsidRPr="00F84F8C">
        <w:t>urch VA: The Speech Communication Association</w:t>
      </w:r>
      <w:r>
        <w:t xml:space="preserve">. </w:t>
      </w:r>
      <w:r w:rsidRPr="00F84F8C">
        <w:t xml:space="preserve">Print. </w:t>
      </w:r>
      <w:proofErr w:type="gramStart"/>
      <w:r w:rsidRPr="00F84F8C">
        <w:t>9-32.</w:t>
      </w:r>
      <w:proofErr w:type="gramEnd"/>
    </w:p>
    <w:p w:rsidR="0032777A" w:rsidRDefault="0032777A" w:rsidP="00064DEB">
      <w:pPr>
        <w:ind w:left="720" w:hanging="720"/>
      </w:pPr>
      <w:proofErr w:type="gramStart"/>
      <w:r w:rsidRPr="00760575">
        <w:t>Giltrow, Janet and Dieter Stein.</w:t>
      </w:r>
      <w:proofErr w:type="gramEnd"/>
      <w:r w:rsidRPr="00760575">
        <w:t xml:space="preserve"> </w:t>
      </w:r>
      <w:r w:rsidRPr="00760575">
        <w:rPr>
          <w:i/>
        </w:rPr>
        <w:t xml:space="preserve">Genres in the Internet: Issue in the Theory of </w:t>
      </w:r>
      <w:proofErr w:type="gramStart"/>
      <w:r w:rsidRPr="00760575">
        <w:rPr>
          <w:i/>
        </w:rPr>
        <w:t>Genre .</w:t>
      </w:r>
      <w:proofErr w:type="gramEnd"/>
      <w:r w:rsidRPr="00760575">
        <w:rPr>
          <w:i/>
        </w:rPr>
        <w:t xml:space="preserve"> </w:t>
      </w:r>
      <w:r w:rsidRPr="00760575">
        <w:t xml:space="preserve">Amsterdam, Netherlands: Benjamins, 2009. Print. </w:t>
      </w:r>
    </w:p>
    <w:p w:rsidR="0032777A" w:rsidRPr="00D91C17" w:rsidRDefault="0032777A" w:rsidP="00D91C17">
      <w:pPr>
        <w:ind w:left="720" w:hanging="720"/>
      </w:pPr>
      <w:r w:rsidRPr="00D91C17">
        <w:t>Miller, Carolyn R. “Genre as Social Action.” Quarterly Journal of Speech 70 (1984): 151-167. Print.</w:t>
      </w:r>
    </w:p>
    <w:p w:rsidR="0032777A" w:rsidRDefault="0032777A" w:rsidP="00064DEB">
      <w:pPr>
        <w:keepNext/>
        <w:keepLines/>
        <w:ind w:left="720" w:hanging="720"/>
        <w:outlineLvl w:val="3"/>
      </w:pPr>
      <w:proofErr w:type="gramStart"/>
      <w:r>
        <w:t>Miller, Carolyn R. and Dawn Shepherd.</w:t>
      </w:r>
      <w:proofErr w:type="gramEnd"/>
      <w:r>
        <w:t xml:space="preserve"> </w:t>
      </w:r>
      <w:proofErr w:type="gramStart"/>
      <w:r>
        <w:t>“Questions for Genre Theory from the Blogosphere.”</w:t>
      </w:r>
      <w:proofErr w:type="gramEnd"/>
      <w:r>
        <w:t xml:space="preserve"> Giltrow and Stein 263-286. Print.</w:t>
      </w:r>
    </w:p>
    <w:p w:rsidR="0032777A" w:rsidRPr="002B448F" w:rsidRDefault="0032777A" w:rsidP="002B448F">
      <w:pPr>
        <w:ind w:left="720" w:hanging="720"/>
      </w:pPr>
      <w:r w:rsidRPr="002B448F">
        <w:t xml:space="preserve">Propp, Vladimir. </w:t>
      </w:r>
      <w:proofErr w:type="gramStart"/>
      <w:r w:rsidRPr="002B448F">
        <w:rPr>
          <w:i/>
        </w:rPr>
        <w:t>The Morphology of the Folktale.</w:t>
      </w:r>
      <w:proofErr w:type="gramEnd"/>
      <w:r w:rsidRPr="002B448F">
        <w:t xml:space="preserve"> </w:t>
      </w:r>
      <w:proofErr w:type="gramStart"/>
      <w:r w:rsidRPr="002B448F">
        <w:t>Trans. Laurence Scott.</w:t>
      </w:r>
      <w:proofErr w:type="gramEnd"/>
      <w:r w:rsidRPr="002B448F">
        <w:t xml:space="preserve"> Bloomington: Indiana U Research Center in Anthropology, Folklore, and Linguistics, 1958. Print. </w:t>
      </w:r>
    </w:p>
    <w:p w:rsidR="00064DEB" w:rsidRDefault="00064DEB" w:rsidP="00064DEB"/>
    <w:sectPr w:rsidR="00064DEB">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50DD" w:rsidRDefault="008D50DD" w:rsidP="008D50DD">
      <w:pPr>
        <w:spacing w:line="240" w:lineRule="auto"/>
      </w:pPr>
      <w:r>
        <w:separator/>
      </w:r>
    </w:p>
  </w:endnote>
  <w:endnote w:type="continuationSeparator" w:id="0">
    <w:p w:rsidR="008D50DD" w:rsidRDefault="008D50DD" w:rsidP="008D50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50DD" w:rsidRDefault="008D50DD" w:rsidP="008D50DD">
      <w:pPr>
        <w:spacing w:line="240" w:lineRule="auto"/>
      </w:pPr>
      <w:r>
        <w:separator/>
      </w:r>
    </w:p>
  </w:footnote>
  <w:footnote w:type="continuationSeparator" w:id="0">
    <w:p w:rsidR="008D50DD" w:rsidRDefault="008D50DD" w:rsidP="008D50D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0DD" w:rsidRDefault="008D50DD">
    <w:pPr>
      <w:pStyle w:val="Header"/>
    </w:pPr>
    <w:r>
      <w:tab/>
    </w:r>
    <w:r>
      <w:tab/>
      <w:t xml:space="preserve">Cox </w:t>
    </w:r>
    <w:r>
      <w:fldChar w:fldCharType="begin"/>
    </w:r>
    <w:r>
      <w:instrText xml:space="preserve"> PAGE   \* MERGEFORMAT </w:instrText>
    </w:r>
    <w:r>
      <w:fldChar w:fldCharType="separate"/>
    </w:r>
    <w:r w:rsidR="00986762">
      <w:rPr>
        <w:noProof/>
      </w:rPr>
      <w:t>6</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5152D"/>
    <w:multiLevelType w:val="multilevel"/>
    <w:tmpl w:val="9F02C068"/>
    <w:styleLink w:val="Style1"/>
    <w:lvl w:ilvl="0">
      <w:start w:val="1"/>
      <w:numFmt w:val="upperRoman"/>
      <w:lvlText w:val="%1."/>
      <w:lvlJc w:val="left"/>
      <w:pPr>
        <w:ind w:left="720" w:hanging="360"/>
      </w:pPr>
    </w:lvl>
    <w:lvl w:ilvl="1">
      <w:start w:val="1"/>
      <w:numFmt w:val="upperLetter"/>
      <w:lvlText w:val="%2."/>
      <w:lvlJc w:val="left"/>
      <w:pPr>
        <w:ind w:left="1440" w:hanging="360"/>
      </w:pPr>
    </w:lvl>
    <w:lvl w:ilvl="2">
      <w:start w:val="1"/>
      <w:numFmt w:val="decimal"/>
      <w:lvlText w:val="%3."/>
      <w:lvlJc w:val="right"/>
      <w:pPr>
        <w:ind w:left="2160" w:hanging="180"/>
      </w:pPr>
    </w:lvl>
    <w:lvl w:ilvl="3">
      <w:start w:val="1"/>
      <w:numFmt w:val="lowerLetter"/>
      <w:lvlText w:val="%4."/>
      <w:lvlJc w:val="left"/>
      <w:pPr>
        <w:ind w:left="2880" w:hanging="360"/>
      </w:pPr>
    </w:lvl>
    <w:lvl w:ilvl="4">
      <w:start w:val="1"/>
      <w:numFmt w:val="lowerRoman"/>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0DD"/>
    <w:rsid w:val="00064DEB"/>
    <w:rsid w:val="00097C59"/>
    <w:rsid w:val="000F23AF"/>
    <w:rsid w:val="00153E3D"/>
    <w:rsid w:val="0020360E"/>
    <w:rsid w:val="00241F35"/>
    <w:rsid w:val="00296674"/>
    <w:rsid w:val="002B448F"/>
    <w:rsid w:val="002E2686"/>
    <w:rsid w:val="0032777A"/>
    <w:rsid w:val="003405C1"/>
    <w:rsid w:val="003417B4"/>
    <w:rsid w:val="003E5BD6"/>
    <w:rsid w:val="00434493"/>
    <w:rsid w:val="004A6FAB"/>
    <w:rsid w:val="005337B9"/>
    <w:rsid w:val="005548D9"/>
    <w:rsid w:val="0055727B"/>
    <w:rsid w:val="006803C5"/>
    <w:rsid w:val="006E36DB"/>
    <w:rsid w:val="007B5095"/>
    <w:rsid w:val="007D5CCB"/>
    <w:rsid w:val="007F4669"/>
    <w:rsid w:val="00843759"/>
    <w:rsid w:val="008D50DD"/>
    <w:rsid w:val="00986762"/>
    <w:rsid w:val="00A367D2"/>
    <w:rsid w:val="00CC2EBE"/>
    <w:rsid w:val="00D17B25"/>
    <w:rsid w:val="00D91C17"/>
    <w:rsid w:val="00E46247"/>
    <w:rsid w:val="00E95398"/>
    <w:rsid w:val="00ED6915"/>
    <w:rsid w:val="00F47452"/>
    <w:rsid w:val="00FC50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60E"/>
    <w:pPr>
      <w:spacing w:after="0" w:line="480" w:lineRule="auto"/>
    </w:pPr>
    <w:rPr>
      <w:rFonts w:ascii="Times New Roman" w:hAnsi="Times New Roman"/>
      <w:sz w:val="24"/>
    </w:rPr>
  </w:style>
  <w:style w:type="paragraph" w:styleId="Heading1">
    <w:name w:val="heading 1"/>
    <w:basedOn w:val="Normal"/>
    <w:next w:val="Normal"/>
    <w:link w:val="Heading1Char"/>
    <w:uiPriority w:val="9"/>
    <w:qFormat/>
    <w:rsid w:val="00843759"/>
    <w:pPr>
      <w:spacing w:before="24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843759"/>
    <w:pPr>
      <w:spacing w:before="120"/>
      <w:outlineLvl w:val="1"/>
    </w:pPr>
    <w:rPr>
      <w:rFonts w:asciiTheme="majorHAnsi" w:eastAsiaTheme="majorEastAsia" w:hAnsiTheme="majorHAnsi" w:cstheme="majorBidi"/>
      <w:bCs/>
      <w:sz w:val="26"/>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3759"/>
    <w:rPr>
      <w:rFonts w:asciiTheme="majorHAnsi" w:eastAsiaTheme="majorEastAsia" w:hAnsiTheme="majorHAnsi" w:cstheme="majorBidi"/>
      <w:b/>
      <w:bCs/>
      <w:sz w:val="28"/>
      <w:szCs w:val="28"/>
    </w:rPr>
  </w:style>
  <w:style w:type="paragraph" w:styleId="Title">
    <w:name w:val="Title"/>
    <w:basedOn w:val="Normal"/>
    <w:next w:val="Normal"/>
    <w:link w:val="TitleChar"/>
    <w:uiPriority w:val="10"/>
    <w:qFormat/>
    <w:rsid w:val="006803C5"/>
    <w:pPr>
      <w:contextualSpacing/>
    </w:pPr>
    <w:rPr>
      <w:rFonts w:asciiTheme="majorHAnsi" w:eastAsiaTheme="majorEastAsia" w:hAnsiTheme="majorHAnsi" w:cstheme="majorBidi"/>
      <w:b/>
      <w:spacing w:val="5"/>
      <w:sz w:val="28"/>
      <w:szCs w:val="52"/>
    </w:rPr>
  </w:style>
  <w:style w:type="character" w:customStyle="1" w:styleId="TitleChar">
    <w:name w:val="Title Char"/>
    <w:basedOn w:val="DefaultParagraphFont"/>
    <w:link w:val="Title"/>
    <w:uiPriority w:val="10"/>
    <w:rsid w:val="006803C5"/>
    <w:rPr>
      <w:rFonts w:asciiTheme="majorHAnsi" w:eastAsiaTheme="majorEastAsia" w:hAnsiTheme="majorHAnsi" w:cstheme="majorBidi"/>
      <w:b/>
      <w:spacing w:val="5"/>
      <w:sz w:val="28"/>
      <w:szCs w:val="52"/>
    </w:rPr>
  </w:style>
  <w:style w:type="character" w:customStyle="1" w:styleId="Heading2Char">
    <w:name w:val="Heading 2 Char"/>
    <w:basedOn w:val="DefaultParagraphFont"/>
    <w:link w:val="Heading2"/>
    <w:uiPriority w:val="9"/>
    <w:rsid w:val="00843759"/>
    <w:rPr>
      <w:rFonts w:asciiTheme="majorHAnsi" w:eastAsiaTheme="majorEastAsia" w:hAnsiTheme="majorHAnsi" w:cstheme="majorBidi"/>
      <w:bCs/>
      <w:sz w:val="26"/>
      <w:szCs w:val="26"/>
      <w:u w:val="single"/>
    </w:rPr>
  </w:style>
  <w:style w:type="numbering" w:customStyle="1" w:styleId="Style1">
    <w:name w:val="Style1"/>
    <w:uiPriority w:val="99"/>
    <w:rsid w:val="0020360E"/>
    <w:pPr>
      <w:numPr>
        <w:numId w:val="1"/>
      </w:numPr>
    </w:pPr>
  </w:style>
  <w:style w:type="paragraph" w:styleId="Header">
    <w:name w:val="header"/>
    <w:basedOn w:val="Normal"/>
    <w:link w:val="HeaderChar"/>
    <w:uiPriority w:val="99"/>
    <w:unhideWhenUsed/>
    <w:rsid w:val="008D50DD"/>
    <w:pPr>
      <w:tabs>
        <w:tab w:val="center" w:pos="4680"/>
        <w:tab w:val="right" w:pos="9360"/>
      </w:tabs>
      <w:spacing w:line="240" w:lineRule="auto"/>
    </w:pPr>
  </w:style>
  <w:style w:type="character" w:customStyle="1" w:styleId="HeaderChar">
    <w:name w:val="Header Char"/>
    <w:basedOn w:val="DefaultParagraphFont"/>
    <w:link w:val="Header"/>
    <w:uiPriority w:val="99"/>
    <w:rsid w:val="008D50DD"/>
    <w:rPr>
      <w:rFonts w:ascii="Times New Roman" w:hAnsi="Times New Roman"/>
      <w:sz w:val="24"/>
    </w:rPr>
  </w:style>
  <w:style w:type="paragraph" w:styleId="Footer">
    <w:name w:val="footer"/>
    <w:basedOn w:val="Normal"/>
    <w:link w:val="FooterChar"/>
    <w:uiPriority w:val="99"/>
    <w:unhideWhenUsed/>
    <w:rsid w:val="008D50DD"/>
    <w:pPr>
      <w:tabs>
        <w:tab w:val="center" w:pos="4680"/>
        <w:tab w:val="right" w:pos="9360"/>
      </w:tabs>
      <w:spacing w:line="240" w:lineRule="auto"/>
    </w:pPr>
  </w:style>
  <w:style w:type="character" w:customStyle="1" w:styleId="FooterChar">
    <w:name w:val="Footer Char"/>
    <w:basedOn w:val="DefaultParagraphFont"/>
    <w:link w:val="Footer"/>
    <w:uiPriority w:val="99"/>
    <w:rsid w:val="008D50DD"/>
    <w:rPr>
      <w:rFonts w:ascii="Times New Roman" w:hAnsi="Times New Roman"/>
      <w:sz w:val="24"/>
    </w:rPr>
  </w:style>
  <w:style w:type="paragraph" w:styleId="Date">
    <w:name w:val="Date"/>
    <w:basedOn w:val="Normal"/>
    <w:next w:val="Normal"/>
    <w:link w:val="DateChar"/>
    <w:uiPriority w:val="99"/>
    <w:semiHidden/>
    <w:unhideWhenUsed/>
    <w:rsid w:val="008D50DD"/>
  </w:style>
  <w:style w:type="character" w:customStyle="1" w:styleId="DateChar">
    <w:name w:val="Date Char"/>
    <w:basedOn w:val="DefaultParagraphFont"/>
    <w:link w:val="Date"/>
    <w:uiPriority w:val="99"/>
    <w:semiHidden/>
    <w:rsid w:val="008D50DD"/>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60E"/>
    <w:pPr>
      <w:spacing w:after="0" w:line="480" w:lineRule="auto"/>
    </w:pPr>
    <w:rPr>
      <w:rFonts w:ascii="Times New Roman" w:hAnsi="Times New Roman"/>
      <w:sz w:val="24"/>
    </w:rPr>
  </w:style>
  <w:style w:type="paragraph" w:styleId="Heading1">
    <w:name w:val="heading 1"/>
    <w:basedOn w:val="Normal"/>
    <w:next w:val="Normal"/>
    <w:link w:val="Heading1Char"/>
    <w:uiPriority w:val="9"/>
    <w:qFormat/>
    <w:rsid w:val="00843759"/>
    <w:pPr>
      <w:spacing w:before="24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843759"/>
    <w:pPr>
      <w:spacing w:before="120"/>
      <w:outlineLvl w:val="1"/>
    </w:pPr>
    <w:rPr>
      <w:rFonts w:asciiTheme="majorHAnsi" w:eastAsiaTheme="majorEastAsia" w:hAnsiTheme="majorHAnsi" w:cstheme="majorBidi"/>
      <w:bCs/>
      <w:sz w:val="26"/>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3759"/>
    <w:rPr>
      <w:rFonts w:asciiTheme="majorHAnsi" w:eastAsiaTheme="majorEastAsia" w:hAnsiTheme="majorHAnsi" w:cstheme="majorBidi"/>
      <w:b/>
      <w:bCs/>
      <w:sz w:val="28"/>
      <w:szCs w:val="28"/>
    </w:rPr>
  </w:style>
  <w:style w:type="paragraph" w:styleId="Title">
    <w:name w:val="Title"/>
    <w:basedOn w:val="Normal"/>
    <w:next w:val="Normal"/>
    <w:link w:val="TitleChar"/>
    <w:uiPriority w:val="10"/>
    <w:qFormat/>
    <w:rsid w:val="006803C5"/>
    <w:pPr>
      <w:contextualSpacing/>
    </w:pPr>
    <w:rPr>
      <w:rFonts w:asciiTheme="majorHAnsi" w:eastAsiaTheme="majorEastAsia" w:hAnsiTheme="majorHAnsi" w:cstheme="majorBidi"/>
      <w:b/>
      <w:spacing w:val="5"/>
      <w:sz w:val="28"/>
      <w:szCs w:val="52"/>
    </w:rPr>
  </w:style>
  <w:style w:type="character" w:customStyle="1" w:styleId="TitleChar">
    <w:name w:val="Title Char"/>
    <w:basedOn w:val="DefaultParagraphFont"/>
    <w:link w:val="Title"/>
    <w:uiPriority w:val="10"/>
    <w:rsid w:val="006803C5"/>
    <w:rPr>
      <w:rFonts w:asciiTheme="majorHAnsi" w:eastAsiaTheme="majorEastAsia" w:hAnsiTheme="majorHAnsi" w:cstheme="majorBidi"/>
      <w:b/>
      <w:spacing w:val="5"/>
      <w:sz w:val="28"/>
      <w:szCs w:val="52"/>
    </w:rPr>
  </w:style>
  <w:style w:type="character" w:customStyle="1" w:styleId="Heading2Char">
    <w:name w:val="Heading 2 Char"/>
    <w:basedOn w:val="DefaultParagraphFont"/>
    <w:link w:val="Heading2"/>
    <w:uiPriority w:val="9"/>
    <w:rsid w:val="00843759"/>
    <w:rPr>
      <w:rFonts w:asciiTheme="majorHAnsi" w:eastAsiaTheme="majorEastAsia" w:hAnsiTheme="majorHAnsi" w:cstheme="majorBidi"/>
      <w:bCs/>
      <w:sz w:val="26"/>
      <w:szCs w:val="26"/>
      <w:u w:val="single"/>
    </w:rPr>
  </w:style>
  <w:style w:type="numbering" w:customStyle="1" w:styleId="Style1">
    <w:name w:val="Style1"/>
    <w:uiPriority w:val="99"/>
    <w:rsid w:val="0020360E"/>
    <w:pPr>
      <w:numPr>
        <w:numId w:val="1"/>
      </w:numPr>
    </w:pPr>
  </w:style>
  <w:style w:type="paragraph" w:styleId="Header">
    <w:name w:val="header"/>
    <w:basedOn w:val="Normal"/>
    <w:link w:val="HeaderChar"/>
    <w:uiPriority w:val="99"/>
    <w:unhideWhenUsed/>
    <w:rsid w:val="008D50DD"/>
    <w:pPr>
      <w:tabs>
        <w:tab w:val="center" w:pos="4680"/>
        <w:tab w:val="right" w:pos="9360"/>
      </w:tabs>
      <w:spacing w:line="240" w:lineRule="auto"/>
    </w:pPr>
  </w:style>
  <w:style w:type="character" w:customStyle="1" w:styleId="HeaderChar">
    <w:name w:val="Header Char"/>
    <w:basedOn w:val="DefaultParagraphFont"/>
    <w:link w:val="Header"/>
    <w:uiPriority w:val="99"/>
    <w:rsid w:val="008D50DD"/>
    <w:rPr>
      <w:rFonts w:ascii="Times New Roman" w:hAnsi="Times New Roman"/>
      <w:sz w:val="24"/>
    </w:rPr>
  </w:style>
  <w:style w:type="paragraph" w:styleId="Footer">
    <w:name w:val="footer"/>
    <w:basedOn w:val="Normal"/>
    <w:link w:val="FooterChar"/>
    <w:uiPriority w:val="99"/>
    <w:unhideWhenUsed/>
    <w:rsid w:val="008D50DD"/>
    <w:pPr>
      <w:tabs>
        <w:tab w:val="center" w:pos="4680"/>
        <w:tab w:val="right" w:pos="9360"/>
      </w:tabs>
      <w:spacing w:line="240" w:lineRule="auto"/>
    </w:pPr>
  </w:style>
  <w:style w:type="character" w:customStyle="1" w:styleId="FooterChar">
    <w:name w:val="Footer Char"/>
    <w:basedOn w:val="DefaultParagraphFont"/>
    <w:link w:val="Footer"/>
    <w:uiPriority w:val="99"/>
    <w:rsid w:val="008D50DD"/>
    <w:rPr>
      <w:rFonts w:ascii="Times New Roman" w:hAnsi="Times New Roman"/>
      <w:sz w:val="24"/>
    </w:rPr>
  </w:style>
  <w:style w:type="paragraph" w:styleId="Date">
    <w:name w:val="Date"/>
    <w:basedOn w:val="Normal"/>
    <w:next w:val="Normal"/>
    <w:link w:val="DateChar"/>
    <w:uiPriority w:val="99"/>
    <w:semiHidden/>
    <w:unhideWhenUsed/>
    <w:rsid w:val="008D50DD"/>
  </w:style>
  <w:style w:type="character" w:customStyle="1" w:styleId="DateChar">
    <w:name w:val="Date Char"/>
    <w:basedOn w:val="DefaultParagraphFont"/>
    <w:link w:val="Date"/>
    <w:uiPriority w:val="99"/>
    <w:semiHidden/>
    <w:rsid w:val="008D50DD"/>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48402E0B-AEA8-4182-8742-743F70229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10</Pages>
  <Words>2468</Words>
  <Characters>14073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R Cox</dc:creator>
  <cp:lastModifiedBy>Angela R Cox</cp:lastModifiedBy>
  <cp:revision>21</cp:revision>
  <dcterms:created xsi:type="dcterms:W3CDTF">2016-03-01T02:51:00Z</dcterms:created>
  <dcterms:modified xsi:type="dcterms:W3CDTF">2016-03-01T05:33:00Z</dcterms:modified>
</cp:coreProperties>
</file>